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ai sensi dell'articolo 42, comma 2, del T.U.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ai sensi dell'articolo 42, comma 2, del T.U.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