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venzioni con associazioni e altri enti di diritto privato non di competenza del Consigl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venzioni con associazioni e altri enti di diritto privato non di competenza del Consigl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